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51" w:rsidRDefault="00B53951"/>
    <w:p w:rsidR="00B53951" w:rsidRPr="00B53951" w:rsidRDefault="00B53951" w:rsidP="00B53951">
      <w:pPr>
        <w:jc w:val="center"/>
        <w:rPr>
          <w:rFonts w:ascii="Bookman Old Style" w:hAnsi="Bookman Old Style"/>
          <w:b/>
          <w:sz w:val="24"/>
          <w:szCs w:val="24"/>
        </w:rPr>
      </w:pPr>
      <w:r w:rsidRPr="00B53951">
        <w:rPr>
          <w:rFonts w:ascii="Bookman Old Style" w:hAnsi="Bookman Old Style"/>
          <w:b/>
          <w:sz w:val="24"/>
          <w:szCs w:val="24"/>
        </w:rPr>
        <w:t>DOCUMENTO DE FOMALIZAÇÃO DE DEMANDA</w:t>
      </w:r>
    </w:p>
    <w:tbl>
      <w:tblPr>
        <w:tblW w:w="0" w:type="auto"/>
        <w:jc w:val="center"/>
        <w:tblCellMar>
          <w:top w:w="15" w:type="dxa"/>
          <w:left w:w="15" w:type="dxa"/>
          <w:bottom w:w="15" w:type="dxa"/>
          <w:right w:w="15" w:type="dxa"/>
        </w:tblCellMar>
        <w:tblLook w:val="04A0" w:firstRow="1" w:lastRow="0" w:firstColumn="1" w:lastColumn="0" w:noHBand="0" w:noVBand="1"/>
      </w:tblPr>
      <w:tblGrid>
        <w:gridCol w:w="3981"/>
        <w:gridCol w:w="3521"/>
        <w:gridCol w:w="3252"/>
      </w:tblGrid>
      <w:tr w:rsidR="00B53951" w:rsidRPr="00B53951" w:rsidTr="00B53951">
        <w:trPr>
          <w:trHeight w:val="584"/>
          <w:jc w:val="center"/>
        </w:trPr>
        <w:tc>
          <w:tcPr>
            <w:tcW w:w="0" w:type="auto"/>
            <w:gridSpan w:val="3"/>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B53951" w:rsidRPr="00B53951" w:rsidRDefault="00B53951" w:rsidP="00B53951">
            <w:pPr>
              <w:spacing w:after="0" w:line="240" w:lineRule="auto"/>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I - DO OBJETO</w:t>
            </w:r>
            <w:r w:rsidRPr="00B53951">
              <w:rPr>
                <w:rFonts w:ascii="Bookman Old Style" w:eastAsia="Times New Roman" w:hAnsi="Bookman Old Style" w:cs="Times New Roman"/>
                <w:color w:val="000000"/>
                <w:sz w:val="21"/>
                <w:szCs w:val="21"/>
                <w:lang w:eastAsia="pt-BR"/>
              </w:rPr>
              <w:t>:</w:t>
            </w: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 xml:space="preserve">O objeto do presente Documento de Formalização de Demanda – DFD. Trata – se de contratação de empresa do ramo pertinente para </w:t>
            </w:r>
            <w:r w:rsidRPr="00B53951">
              <w:rPr>
                <w:rFonts w:ascii="Bookman Old Style" w:eastAsia="Times New Roman" w:hAnsi="Bookman Old Style" w:cs="Times New Roman"/>
                <w:b/>
                <w:bCs/>
                <w:color w:val="000000"/>
                <w:sz w:val="21"/>
                <w:szCs w:val="21"/>
                <w:lang w:eastAsia="pt-BR"/>
              </w:rPr>
              <w:t>REGISTRO DE PREÇOS</w:t>
            </w:r>
            <w:r w:rsidRPr="00B53951">
              <w:rPr>
                <w:rFonts w:ascii="Bookman Old Style" w:eastAsia="Times New Roman" w:hAnsi="Bookman Old Style" w:cs="Times New Roman"/>
                <w:color w:val="000000"/>
                <w:sz w:val="21"/>
                <w:szCs w:val="21"/>
                <w:lang w:eastAsia="pt-BR"/>
              </w:rPr>
              <w:t>, visando o fornecimento de materiais de construção, hidráulico e elétrico, para recuperação e manutenção, visando suprir a demanda das diversas Secretarias Públicas e Fundos Municipais, e materiais elétricos para a manutenção e recuperação do Sistema de Iluminação Pública, com entrega parcelada, durante 12(doze) meses. CONFORME SOLICITAÇÃO EXPRESSA DAS SECRETARIAS DEMANDANTE, conforme condições expostas em Estudo Técnico Preliminar, Relatório da Análise de Riscos, Termo de Referência e minuta de Contrato que instruem a presente contratação.</w:t>
            </w:r>
          </w:p>
        </w:tc>
      </w:tr>
      <w:tr w:rsidR="00B53951" w:rsidRPr="00B53951" w:rsidTr="00B53951">
        <w:trPr>
          <w:trHeight w:val="1589"/>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CLASSIFICAÇÃO DO OBJETO</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53951" w:rsidRPr="00B53951" w:rsidRDefault="00B53951" w:rsidP="00B53951">
            <w:pPr>
              <w:spacing w:after="0" w:line="240" w:lineRule="auto"/>
              <w:ind w:left="141"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a)</w:t>
            </w:r>
            <w:r w:rsidRPr="00B53951">
              <w:rPr>
                <w:rFonts w:ascii="Bookman Old Style" w:eastAsia="Times New Roman" w:hAnsi="Bookman Old Style" w:cs="Times New Roman"/>
                <w:color w:val="000000"/>
                <w:sz w:val="21"/>
                <w:szCs w:val="21"/>
                <w:lang w:eastAsia="pt-BR"/>
              </w:rPr>
              <w:t xml:space="preserve"> O objeto desta contratação não se enquadra como sendo de bem de luxo, conforme preceitua o art. 20 da Lei nº 14.133/21.</w:t>
            </w:r>
          </w:p>
          <w:p w:rsidR="00B53951" w:rsidRPr="00B53951" w:rsidRDefault="00B53951" w:rsidP="00B53951">
            <w:pPr>
              <w:spacing w:after="0" w:line="240" w:lineRule="auto"/>
              <w:ind w:left="141"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b)</w:t>
            </w:r>
            <w:r w:rsidRPr="00B53951">
              <w:rPr>
                <w:rFonts w:ascii="Bookman Old Style" w:eastAsia="Times New Roman" w:hAnsi="Bookman Old Style" w:cs="Times New Roman"/>
                <w:color w:val="000000"/>
                <w:sz w:val="21"/>
                <w:szCs w:val="21"/>
                <w:lang w:eastAsia="pt-BR"/>
              </w:rPr>
              <w:t xml:space="preserve"> Os serviços objeto desta contratação são caracterizados como comuns, conforme justificativa constante do Estudo Técnico Preliminar;</w:t>
            </w:r>
          </w:p>
          <w:p w:rsidR="00B53951" w:rsidRPr="00B53951" w:rsidRDefault="00B53951" w:rsidP="00B53951">
            <w:pPr>
              <w:spacing w:after="0" w:line="240" w:lineRule="auto"/>
              <w:ind w:left="141"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c)</w:t>
            </w:r>
            <w:r w:rsidRPr="00B53951">
              <w:rPr>
                <w:rFonts w:ascii="Bookman Old Style" w:eastAsia="Times New Roman" w:hAnsi="Bookman Old Style" w:cs="Times New Roman"/>
                <w:color w:val="000000"/>
                <w:sz w:val="21"/>
                <w:szCs w:val="21"/>
                <w:lang w:eastAsia="pt-BR"/>
              </w:rPr>
              <w:t xml:space="preserve"> A licitação será dividida em itens, conforme tabela constante neste Termo de Referência, (Anexo I), facultando-se ao licitante a participação em quantos itens forem de seu interesse.</w:t>
            </w:r>
          </w:p>
          <w:p w:rsidR="00B53951" w:rsidRPr="00B53951" w:rsidRDefault="00B53951" w:rsidP="00B53951">
            <w:pPr>
              <w:spacing w:after="0" w:line="240" w:lineRule="auto"/>
              <w:ind w:left="141"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d)</w:t>
            </w:r>
            <w:r w:rsidRPr="00B53951">
              <w:rPr>
                <w:rFonts w:ascii="Bookman Old Style" w:eastAsia="Times New Roman" w:hAnsi="Bookman Old Style" w:cs="Times New Roman"/>
                <w:color w:val="000000"/>
                <w:sz w:val="21"/>
                <w:szCs w:val="21"/>
                <w:lang w:eastAsia="pt-BR"/>
              </w:rPr>
              <w:t xml:space="preserve"> O fornecimento de bens é enquadrado como continuado tendo em vista que sua interrupção pode comprometer a continuidade das atividades da Administração, sendo a vigência plurianual mais vantajosa considerando o Estudo Técnico Preliminar.</w:t>
            </w:r>
          </w:p>
          <w:p w:rsidR="00B53951" w:rsidRPr="00B53951" w:rsidRDefault="00B53951" w:rsidP="00B53951">
            <w:pPr>
              <w:spacing w:after="0" w:line="240" w:lineRule="auto"/>
              <w:ind w:left="142"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e)</w:t>
            </w:r>
            <w:r w:rsidRPr="00B53951">
              <w:rPr>
                <w:rFonts w:ascii="Bookman Old Style" w:eastAsia="Times New Roman" w:hAnsi="Bookman Old Style" w:cs="Times New Roman"/>
                <w:color w:val="000000"/>
                <w:sz w:val="21"/>
                <w:szCs w:val="21"/>
                <w:lang w:eastAsia="pt-BR"/>
              </w:rPr>
              <w:t xml:space="preserve"> Os produtos têm natureza comum, tendo em vista que seus padrões de desempenho e qualidade podem ser objetivamente definidos pelo edital, por meio de especificações usuais de mercado, nos termos do art. 6º, inciso XIII, da Lei Federal nº 14.133/2021.</w:t>
            </w:r>
          </w:p>
          <w:p w:rsidR="00B53951" w:rsidRPr="00B53951" w:rsidRDefault="00B53951" w:rsidP="00B53951">
            <w:pPr>
              <w:spacing w:after="0" w:line="240" w:lineRule="auto"/>
              <w:ind w:left="141"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f)</w:t>
            </w:r>
            <w:r w:rsidRPr="00B53951">
              <w:rPr>
                <w:rFonts w:ascii="Bookman Old Style" w:eastAsia="Times New Roman" w:hAnsi="Bookman Old Style" w:cs="Times New Roman"/>
                <w:color w:val="000000"/>
                <w:sz w:val="21"/>
                <w:szCs w:val="21"/>
                <w:lang w:eastAsia="pt-BR"/>
              </w:rPr>
              <w:t xml:space="preserve"> A contratação será realizada por meio de licitação, na modalidade </w:t>
            </w:r>
            <w:r w:rsidRPr="00B53951">
              <w:rPr>
                <w:rFonts w:ascii="Bookman Old Style" w:eastAsia="Times New Roman" w:hAnsi="Bookman Old Style" w:cs="Times New Roman"/>
                <w:b/>
                <w:bCs/>
                <w:color w:val="000000"/>
                <w:sz w:val="21"/>
                <w:szCs w:val="21"/>
                <w:lang w:eastAsia="pt-BR"/>
              </w:rPr>
              <w:t>PREGÃO</w:t>
            </w:r>
            <w:r w:rsidRPr="00B53951">
              <w:rPr>
                <w:rFonts w:ascii="Bookman Old Style" w:eastAsia="Times New Roman" w:hAnsi="Bookman Old Style" w:cs="Times New Roman"/>
                <w:color w:val="000000"/>
                <w:sz w:val="21"/>
                <w:szCs w:val="21"/>
                <w:lang w:eastAsia="pt-BR"/>
              </w:rPr>
              <w:t>, para REGISTRO DE PREÇOS, na sua forma PRESENCIAL, com critério de julgamento por menor preço, nos termos dos artigos 6º, inciso XLI, 17, § 2º, e 34, todos da Lei Federal nº 14.133/2021.</w:t>
            </w:r>
          </w:p>
        </w:tc>
      </w:tr>
      <w:tr w:rsidR="00B53951" w:rsidRPr="00B53951" w:rsidTr="00B53951">
        <w:trPr>
          <w:trHeight w:val="311"/>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ASSUNTO:</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53951" w:rsidRPr="00B53951" w:rsidRDefault="00B53951" w:rsidP="00B53951">
            <w:pPr>
              <w:spacing w:after="0" w:line="240" w:lineRule="auto"/>
              <w:ind w:left="102" w:right="200"/>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Solicitação para abertura de procedimento administrativo em atendimento Art. 18, Inc. II, da Lei nº 14.133/2021. Lei Municipal nº 546, de 16 de março de 2023, e demais legislação aplicável.</w:t>
            </w:r>
          </w:p>
        </w:tc>
      </w:tr>
      <w:tr w:rsidR="00B53951" w:rsidRPr="00B53951" w:rsidTr="00B53951">
        <w:trPr>
          <w:trHeight w:val="16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53951" w:rsidRPr="00B53951" w:rsidRDefault="00B53951" w:rsidP="00B5395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Responsável </w:t>
            </w:r>
          </w:p>
        </w:tc>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19"/>
                <w:szCs w:val="19"/>
                <w:lang w:eastAsia="pt-BR"/>
              </w:rPr>
              <w:t>Secretaria Municipal de Obras e Serviços Urbanos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17"/>
                <w:szCs w:val="17"/>
                <w:lang w:eastAsia="pt-BR"/>
              </w:rPr>
              <w:t>Francisco Tavares Pereira; Secretário – Portaria nº 005/2017</w:t>
            </w:r>
          </w:p>
        </w:tc>
      </w:tr>
      <w:tr w:rsidR="00B53951" w:rsidRPr="00B53951" w:rsidTr="00B53951">
        <w:trPr>
          <w:trHeight w:val="5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JUSTIFICATIVA DA NECESSIDADE DA CONTRATAÇÃO</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CONSIDERANDO a inovação da NLLC, e em atendimento ao Art. 6º, inciso XLI, da Lei Federal nº 14.133/21, a instauração do presente processo se faz necessário para contratação de empresas do ramo pertinente para o fornecimento de materiais de construção, hidráulico e elétrico, para recuperação e manutenção, visando suprir a demanda das diversas Secretarias Públicas e Fundos Municipais, e materiais elétricos para a manutenção e recuperação do Sistema de Iluminação Pública;</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lastRenderedPageBreak/>
              <w:t>CONSIDERANDO a</w:t>
            </w:r>
            <w:r w:rsidRPr="00B53951">
              <w:rPr>
                <w:rFonts w:ascii="Bookman Old Style" w:eastAsia="Times New Roman" w:hAnsi="Bookman Old Style" w:cs="Times New Roman"/>
                <w:b/>
                <w:bCs/>
                <w:color w:val="000000"/>
                <w:sz w:val="21"/>
                <w:szCs w:val="21"/>
                <w:lang w:eastAsia="pt-BR"/>
              </w:rPr>
              <w:t xml:space="preserve"> Descrição da Necessidade:</w:t>
            </w:r>
            <w:r w:rsidRPr="00B53951">
              <w:rPr>
                <w:rFonts w:ascii="Bookman Old Style" w:eastAsia="Times New Roman" w:hAnsi="Bookman Old Style" w:cs="Times New Roman"/>
                <w:color w:val="000000"/>
                <w:sz w:val="21"/>
                <w:szCs w:val="21"/>
                <w:lang w:eastAsia="pt-BR"/>
              </w:rPr>
              <w:t xml:space="preserve"> A prefeitura Municipal de </w:t>
            </w:r>
            <w:r>
              <w:rPr>
                <w:rFonts w:ascii="Bookman Old Style" w:eastAsia="Times New Roman" w:hAnsi="Bookman Old Style" w:cs="Times New Roman"/>
                <w:color w:val="000000"/>
                <w:sz w:val="21"/>
                <w:szCs w:val="21"/>
                <w:lang w:eastAsia="pt-BR"/>
              </w:rPr>
              <w:t>Areias</w:t>
            </w:r>
            <w:r w:rsidRPr="00B53951">
              <w:rPr>
                <w:rFonts w:ascii="Bookman Old Style" w:eastAsia="Times New Roman" w:hAnsi="Bookman Old Style" w:cs="Times New Roman"/>
                <w:color w:val="000000"/>
                <w:sz w:val="21"/>
                <w:szCs w:val="21"/>
                <w:lang w:eastAsia="pt-BR"/>
              </w:rPr>
              <w:t xml:space="preserve"> tem a responsabilidade de manter e melhorar a infraestrutura pública para atender às necessidades dos cidadãos. Como parte desse compromisso, é necessário adquirir materiais de construção em geral e elétricos para realizar obras de reparo, manutenção e construção de instalações municipais, e manutenção do sistema de iluminação pública;</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CONSIDERANDO a necessidade identificada neste DFD, a aquisição do objeto visa manter e melhorar a infraestrutura pública para atender às necessidades dos cidadãos, realizando obras de reparo, manutenção e construção de instalações municipais, sendo imprescindível para realizar reparos diversos e manutenção regular, garantindo a segurança e funcionalidade dessas instalações, melhorando assim a qualidade de vida dos cidadãos;</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Justificativa:</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Manutenção de Infraestrutura Existente:</w:t>
            </w:r>
            <w:r w:rsidRPr="00B53951">
              <w:rPr>
                <w:rFonts w:ascii="Bookman Old Style" w:eastAsia="Times New Roman" w:hAnsi="Bookman Old Style" w:cs="Times New Roman"/>
                <w:color w:val="000000"/>
                <w:sz w:val="21"/>
                <w:szCs w:val="21"/>
                <w:lang w:eastAsia="pt-BR"/>
              </w:rPr>
              <w:t xml:space="preserve"> Muitas das estruturas municipais estão sujeitas a desgaste e deterioração ao longo do tempo devido ao uso contínuo e às condições climáticas. A aquisição de materiais de construção é necessária para realizar reparos diversos e manutenção regular, garantindo a segurança e funcionalidade dessas instalações.</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Atendimento às Demandas da Comunidade:</w:t>
            </w:r>
            <w:r w:rsidRPr="00B53951">
              <w:rPr>
                <w:rFonts w:ascii="Bookman Old Style" w:eastAsia="Times New Roman" w:hAnsi="Bookman Old Style" w:cs="Times New Roman"/>
                <w:color w:val="000000"/>
                <w:sz w:val="21"/>
                <w:szCs w:val="21"/>
                <w:lang w:eastAsia="pt-BR"/>
              </w:rPr>
              <w:t xml:space="preserve"> A prefeitura recebe constantemente pedidos da comunidade para melhorias em infraestrutura, como reparo de estradas, conserto de calçadas, construção de parques, entre outros. A aquisição de materiais de construção é essencial para atender a essas demandas e melhorar a qualidade de vida dos cidadãos.</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Investimento em Desenvolvimento Urbano:</w:t>
            </w:r>
            <w:r w:rsidRPr="00B53951">
              <w:rPr>
                <w:rFonts w:ascii="Bookman Old Style" w:eastAsia="Times New Roman" w:hAnsi="Bookman Old Style" w:cs="Times New Roman"/>
                <w:color w:val="000000"/>
                <w:sz w:val="21"/>
                <w:szCs w:val="21"/>
                <w:lang w:eastAsia="pt-BR"/>
              </w:rPr>
              <w:t xml:space="preserve"> A realização de projetos de construção civil contribui para o desenvolvimento urbano, melhorando a estética da cidade, aumentando o valor das propriedades e estimulando o crescimento econômico local. Portanto, a aquisição de materiais de construção é um investimento na qualidade de vida e no progresso da comunidade.</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Cumprimento de Normas e Regulamentações:</w:t>
            </w:r>
            <w:r w:rsidRPr="00B53951">
              <w:rPr>
                <w:rFonts w:ascii="Bookman Old Style" w:eastAsia="Times New Roman" w:hAnsi="Bookman Old Style" w:cs="Times New Roman"/>
                <w:color w:val="000000"/>
                <w:sz w:val="21"/>
                <w:szCs w:val="21"/>
                <w:lang w:eastAsia="pt-BR"/>
              </w:rPr>
              <w:t xml:space="preserve"> É obrigação da prefeitura garantir que as estruturas municipais estejam em conformidade com as normas e regulamentações de segurança e acessibilidade. A aquisição de materiais de construção de qualidade é fundamental para garantir que os projetos atendam a esses padrões e evitem possíveis problemas legais ou de segurança no futuro.</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Eficiência e Economia de Recursos Públicos:</w:t>
            </w:r>
            <w:r w:rsidRPr="00B53951">
              <w:rPr>
                <w:rFonts w:ascii="Bookman Old Style" w:eastAsia="Times New Roman" w:hAnsi="Bookman Old Style" w:cs="Times New Roman"/>
                <w:color w:val="000000"/>
                <w:sz w:val="21"/>
                <w:szCs w:val="21"/>
                <w:lang w:eastAsia="pt-BR"/>
              </w:rPr>
              <w:t xml:space="preserve"> Ao adquirir materiais de construção em grande quantidade e por meio de processos de licitação transparentes, a prefeitura pode garantir a eficiência na utilização dos recursos públicos, </w:t>
            </w:r>
            <w:r w:rsidRPr="00B53951">
              <w:rPr>
                <w:rFonts w:ascii="Bookman Old Style" w:eastAsia="Times New Roman" w:hAnsi="Bookman Old Style" w:cs="Times New Roman"/>
                <w:color w:val="000000"/>
                <w:sz w:val="21"/>
                <w:szCs w:val="21"/>
                <w:lang w:eastAsia="pt-BR"/>
              </w:rPr>
              <w:lastRenderedPageBreak/>
              <w:t>obtendo melhores preços e condições de pagamento. Isso resulta em economia de custos a longo prazo e maximiza o retorno do investimento para a comunidade.</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A contratação em apreço justifica-se ainda, em razão da vigência do contrato e da Ata de Registro de Preços se encontrar totalmente vencida, sendo imprescindíveis a aquisição dos referidos materiais para continuidade das atividades desenvolvidas por esta municipalidade.</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 xml:space="preserve">Por fim, é importante ressaltar que o parcelamento do fornecimento é devido a indisponibilidade de armazenamento nas instalações dos órgãos e entidades da administração direta e indireta, bem como pela </w:t>
            </w:r>
            <w:proofErr w:type="spellStart"/>
            <w:r w:rsidRPr="00B53951">
              <w:rPr>
                <w:rFonts w:ascii="Bookman Old Style" w:eastAsia="Times New Roman" w:hAnsi="Bookman Old Style" w:cs="Times New Roman"/>
                <w:color w:val="000000"/>
                <w:sz w:val="21"/>
                <w:szCs w:val="21"/>
                <w:lang w:eastAsia="pt-BR"/>
              </w:rPr>
              <w:t>perecibilidade</w:t>
            </w:r>
            <w:proofErr w:type="spellEnd"/>
            <w:r w:rsidRPr="00B53951">
              <w:rPr>
                <w:rFonts w:ascii="Bookman Old Style" w:eastAsia="Times New Roman" w:hAnsi="Bookman Old Style" w:cs="Times New Roman"/>
                <w:color w:val="000000"/>
                <w:sz w:val="21"/>
                <w:szCs w:val="21"/>
                <w:lang w:eastAsia="pt-BR"/>
              </w:rPr>
              <w:t xml:space="preserve"> do objeto.</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Diante do que ora foi exposto, solicitamos a abertura do devido Processo Licitatório, na modalidade PREGÃO para REGISTRO DE PREÇOS, na forma PRESENCIAL, do tipo MENOR PREÇOS, com julgamento POR ITEM, com fornecimento de modo PARCELADO;</w:t>
            </w:r>
          </w:p>
        </w:tc>
      </w:tr>
      <w:tr w:rsidR="00B53951" w:rsidRPr="00B53951" w:rsidTr="00B53951">
        <w:trPr>
          <w:trHeight w:val="561"/>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19"/>
                <w:szCs w:val="19"/>
                <w:lang w:eastAsia="pt-BR"/>
              </w:rPr>
              <w:lastRenderedPageBreak/>
              <w:t>ALINHAMENTO ENTRE A CONTRATAÇÃO E O PLANEJAMENTO</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 xml:space="preserve">A Contratação pretendida está prevista no PPA (Plano </w:t>
            </w:r>
            <w:proofErr w:type="spellStart"/>
            <w:r w:rsidRPr="00B53951">
              <w:rPr>
                <w:rFonts w:ascii="Bookman Old Style" w:eastAsia="Times New Roman" w:hAnsi="Bookman Old Style" w:cs="Times New Roman"/>
                <w:color w:val="000000"/>
                <w:sz w:val="21"/>
                <w:szCs w:val="21"/>
                <w:lang w:eastAsia="pt-BR"/>
              </w:rPr>
              <w:t>Pluri</w:t>
            </w:r>
            <w:proofErr w:type="spellEnd"/>
            <w:r w:rsidRPr="00B53951">
              <w:rPr>
                <w:rFonts w:ascii="Bookman Old Style" w:eastAsia="Times New Roman" w:hAnsi="Bookman Old Style" w:cs="Times New Roman"/>
                <w:color w:val="000000"/>
                <w:sz w:val="21"/>
                <w:szCs w:val="21"/>
                <w:lang w:eastAsia="pt-BR"/>
              </w:rPr>
              <w:t xml:space="preserve"> Anual) e LOA (Lei Orçamentária Anual) do Município de </w:t>
            </w:r>
            <w:r>
              <w:rPr>
                <w:rFonts w:ascii="Bookman Old Style" w:eastAsia="Times New Roman" w:hAnsi="Bookman Old Style" w:cs="Times New Roman"/>
                <w:color w:val="000000"/>
                <w:sz w:val="21"/>
                <w:szCs w:val="21"/>
                <w:lang w:eastAsia="pt-BR"/>
              </w:rPr>
              <w:t>Areias</w:t>
            </w:r>
            <w:r w:rsidRPr="00B53951">
              <w:rPr>
                <w:rFonts w:ascii="Bookman Old Style" w:eastAsia="Times New Roman" w:hAnsi="Bookman Old Style" w:cs="Times New Roman"/>
                <w:color w:val="000000"/>
                <w:sz w:val="21"/>
                <w:szCs w:val="21"/>
                <w:lang w:eastAsia="pt-BR"/>
              </w:rPr>
              <w:t>;</w:t>
            </w:r>
          </w:p>
        </w:tc>
      </w:tr>
      <w:tr w:rsidR="00B53951" w:rsidRPr="00B53951" w:rsidTr="00B53951">
        <w:trPr>
          <w:trHeight w:val="81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19"/>
                <w:szCs w:val="19"/>
                <w:lang w:eastAsia="pt-BR"/>
              </w:rPr>
              <w:t>PREVISÃO NO PLANO DE CONTRATAÇÕES ANUAL</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 xml:space="preserve">A Contratação pretendida está prevista no Plano de Contratações Anual em fase de conclusão de modo que se encontra alinhada com o planejamento da Secretaria Municipal de Educação do município de </w:t>
            </w:r>
            <w:r>
              <w:rPr>
                <w:rFonts w:ascii="Bookman Old Style" w:eastAsia="Times New Roman" w:hAnsi="Bookman Old Style" w:cs="Times New Roman"/>
                <w:color w:val="000000"/>
                <w:sz w:val="21"/>
                <w:szCs w:val="21"/>
                <w:lang w:eastAsia="pt-BR"/>
              </w:rPr>
              <w:t>Areias</w:t>
            </w:r>
            <w:r w:rsidRPr="00B53951">
              <w:rPr>
                <w:rFonts w:ascii="Bookman Old Style" w:eastAsia="Times New Roman" w:hAnsi="Bookman Old Style" w:cs="Times New Roman"/>
                <w:color w:val="000000"/>
                <w:sz w:val="21"/>
                <w:szCs w:val="21"/>
                <w:lang w:eastAsia="pt-BR"/>
              </w:rPr>
              <w:t>;</w:t>
            </w:r>
          </w:p>
        </w:tc>
      </w:tr>
      <w:tr w:rsidR="00B53951" w:rsidRPr="00B53951" w:rsidTr="00B53951">
        <w:trPr>
          <w:trHeight w:val="5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ESTIMATIVA PRELIMINAR DO VALOR DA CONTRATAÇÃO</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 xml:space="preserve">O custo estimado total da contratação é de </w:t>
            </w:r>
            <w:r w:rsidRPr="00B53951">
              <w:rPr>
                <w:rFonts w:ascii="Bookman Old Style" w:eastAsia="Times New Roman" w:hAnsi="Bookman Old Style" w:cs="Times New Roman"/>
                <w:b/>
                <w:bCs/>
                <w:color w:val="000000"/>
                <w:sz w:val="21"/>
                <w:szCs w:val="21"/>
                <w:lang w:eastAsia="pt-BR"/>
              </w:rPr>
              <w:t>R$</w:t>
            </w:r>
            <w:r w:rsidRPr="00B53951">
              <w:rPr>
                <w:rFonts w:ascii="Bookman Old Style" w:eastAsia="Times New Roman" w:hAnsi="Bookman Old Style" w:cs="Times New Roman"/>
                <w:color w:val="000000"/>
                <w:sz w:val="21"/>
                <w:szCs w:val="21"/>
                <w:lang w:eastAsia="pt-BR"/>
              </w:rPr>
              <w:t xml:space="preserve"> </w:t>
            </w:r>
            <w:proofErr w:type="spellStart"/>
            <w:r>
              <w:rPr>
                <w:rFonts w:ascii="Bookman Old Style" w:eastAsia="Times New Roman" w:hAnsi="Bookman Old Style" w:cs="Times New Roman"/>
                <w:color w:val="000000"/>
                <w:sz w:val="21"/>
                <w:szCs w:val="21"/>
                <w:lang w:eastAsia="pt-BR"/>
              </w:rPr>
              <w:t>xxxxxxxxxxxxxxxxx</w:t>
            </w:r>
            <w:proofErr w:type="spellEnd"/>
            <w:r>
              <w:rPr>
                <w:rFonts w:ascii="Bookman Old Style" w:eastAsia="Times New Roman" w:hAnsi="Bookman Old Style" w:cs="Times New Roman"/>
                <w:color w:val="000000"/>
                <w:sz w:val="21"/>
                <w:szCs w:val="21"/>
                <w:lang w:eastAsia="pt-BR"/>
              </w:rPr>
              <w:t xml:space="preserve"> </w:t>
            </w:r>
            <w:r w:rsidRPr="00B53951">
              <w:rPr>
                <w:rFonts w:ascii="Bookman Old Style" w:eastAsia="Times New Roman" w:hAnsi="Bookman Old Style" w:cs="Times New Roman"/>
                <w:color w:val="000000"/>
                <w:sz w:val="21"/>
                <w:szCs w:val="21"/>
                <w:lang w:eastAsia="pt-BR"/>
              </w:rPr>
              <w:t>conforme custos unitários. Conforme segue a planilha abaixo;</w:t>
            </w:r>
          </w:p>
        </w:tc>
      </w:tr>
      <w:tr w:rsidR="00B53951" w:rsidRPr="00B53951" w:rsidTr="00B53951">
        <w:trPr>
          <w:trHeight w:val="2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DATA PRETENDIDA PARA A CELEBRAÇÃO DA CONTRATAÇÃO</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53951" w:rsidRPr="00B53951" w:rsidRDefault="00B53951" w:rsidP="00B53951">
            <w:pPr>
              <w:spacing w:after="0" w:line="240" w:lineRule="auto"/>
              <w:rPr>
                <w:rFonts w:ascii="Times New Roman" w:eastAsia="Times New Roman" w:hAnsi="Times New Roman" w:cs="Times New Roman"/>
                <w:sz w:val="24"/>
                <w:szCs w:val="24"/>
                <w:lang w:eastAsia="pt-BR"/>
              </w:rPr>
            </w:pPr>
            <w:proofErr w:type="gramStart"/>
            <w:r>
              <w:rPr>
                <w:rFonts w:ascii="Bookman Old Style" w:eastAsia="Times New Roman" w:hAnsi="Bookman Old Style" w:cs="Times New Roman"/>
                <w:color w:val="000000"/>
                <w:sz w:val="21"/>
                <w:szCs w:val="21"/>
                <w:lang w:eastAsia="pt-BR"/>
              </w:rPr>
              <w:t>setembro</w:t>
            </w:r>
            <w:proofErr w:type="gramEnd"/>
            <w:r w:rsidRPr="00B53951">
              <w:rPr>
                <w:rFonts w:ascii="Bookman Old Style" w:eastAsia="Times New Roman" w:hAnsi="Bookman Old Style" w:cs="Times New Roman"/>
                <w:color w:val="000000"/>
                <w:sz w:val="21"/>
                <w:szCs w:val="21"/>
                <w:lang w:eastAsia="pt-BR"/>
              </w:rPr>
              <w:t>/2024</w:t>
            </w:r>
          </w:p>
        </w:tc>
      </w:tr>
      <w:tr w:rsidR="00B53951" w:rsidRPr="00B53951" w:rsidTr="00B53951">
        <w:trPr>
          <w:trHeight w:val="2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QUANTIDADES A SEREM CONTRATADAS </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A estimativa das quantidades levantada para a contratação encontra – se, descrito abaixo no apêndice deste DFD.</w:t>
            </w:r>
          </w:p>
        </w:tc>
      </w:tr>
      <w:tr w:rsidR="00B53951" w:rsidRPr="00B53951" w:rsidTr="00B53951">
        <w:trPr>
          <w:trHeight w:val="2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PREVISÃO DE ENTREGA, APÓS CELEBRAÇÃO DO CONTRATO</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A entrega será através do atendimento imediato, após a celebração do contrato a contratada deverá entregar os produtos no prazo máximo de 10(dez) dias, após a ordem de fornecimento ou instrumento equivalente;</w:t>
            </w:r>
          </w:p>
        </w:tc>
      </w:tr>
      <w:tr w:rsidR="00B53951" w:rsidRPr="00B53951" w:rsidTr="00B53951">
        <w:trPr>
          <w:trHeight w:val="2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t>PRAZO VIGÊNCIA DA CONTRATAÇÃO </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 xml:space="preserve">O prazo de vigência da Contratação é de </w:t>
            </w:r>
            <w:r w:rsidRPr="00B53951">
              <w:rPr>
                <w:rFonts w:ascii="Bookman Old Style" w:eastAsia="Times New Roman" w:hAnsi="Bookman Old Style" w:cs="Times New Roman"/>
                <w:b/>
                <w:bCs/>
                <w:color w:val="000000"/>
                <w:sz w:val="21"/>
                <w:szCs w:val="21"/>
                <w:lang w:eastAsia="pt-BR"/>
              </w:rPr>
              <w:t>12 (doze) meses</w:t>
            </w:r>
            <w:r w:rsidRPr="00B53951">
              <w:rPr>
                <w:rFonts w:ascii="Bookman Old Style" w:eastAsia="Times New Roman" w:hAnsi="Bookman Old Style" w:cs="Times New Roman"/>
                <w:color w:val="000000"/>
                <w:sz w:val="21"/>
                <w:szCs w:val="21"/>
                <w:lang w:eastAsia="pt-BR"/>
              </w:rPr>
              <w:t xml:space="preserve">, com início a partir da data de assinatura, e </w:t>
            </w:r>
            <w:r w:rsidRPr="00B53951">
              <w:rPr>
                <w:rFonts w:ascii="Bookman Old Style" w:eastAsia="Times New Roman" w:hAnsi="Bookman Old Style" w:cs="Times New Roman"/>
                <w:b/>
                <w:bCs/>
                <w:color w:val="000000"/>
                <w:sz w:val="21"/>
                <w:szCs w:val="21"/>
                <w:lang w:eastAsia="pt-BR"/>
              </w:rPr>
              <w:t xml:space="preserve">poderá ser prorrogado </w:t>
            </w:r>
            <w:r w:rsidRPr="00B53951">
              <w:rPr>
                <w:rFonts w:ascii="Bookman Old Style" w:eastAsia="Times New Roman" w:hAnsi="Bookman Old Style" w:cs="Times New Roman"/>
                <w:color w:val="000000"/>
                <w:sz w:val="21"/>
                <w:szCs w:val="21"/>
                <w:lang w:eastAsia="pt-BR"/>
              </w:rPr>
              <w:t>nos termos dos artigos 107° da Lei n° 14.133, de 2021.</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Antes de formalizar ou prorrogar o prazo de vigência do contrato, a Administração deverá verificar a regularidade fiscal do contratado, consultar as certidões negativas de impedimento e de débitos trabalhistas e juntá-las ao respectivo processo</w:t>
            </w:r>
          </w:p>
        </w:tc>
      </w:tr>
      <w:tr w:rsidR="00B53951" w:rsidRPr="00B53951" w:rsidTr="00B53951">
        <w:trPr>
          <w:trHeight w:val="28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144" w:type="dxa"/>
              <w:bottom w:w="72" w:type="dxa"/>
              <w:right w:w="144" w:type="dxa"/>
            </w:tcMar>
            <w:vAlign w:val="center"/>
            <w:hideMark/>
          </w:tcPr>
          <w:p w:rsidR="00B53951" w:rsidRPr="00B53951" w:rsidRDefault="00B53951" w:rsidP="00B53951">
            <w:pPr>
              <w:spacing w:after="0" w:line="240" w:lineRule="auto"/>
              <w:jc w:val="center"/>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1"/>
                <w:szCs w:val="21"/>
                <w:lang w:eastAsia="pt-BR"/>
              </w:rPr>
              <w:lastRenderedPageBreak/>
              <w:t>FUNDAMENTAÇÃO LEGAL PARA A CONTRATAÇÃO</w:t>
            </w:r>
          </w:p>
        </w:tc>
        <w:tc>
          <w:tcPr>
            <w:tcW w:w="0" w:type="auto"/>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1"/>
                <w:szCs w:val="21"/>
                <w:lang w:eastAsia="pt-BR"/>
              </w:rPr>
              <w:t>A contratação terá embasamento nas seguintes normas:</w:t>
            </w:r>
          </w:p>
          <w:p w:rsidR="00B53951" w:rsidRPr="00B53951" w:rsidRDefault="00B53951" w:rsidP="00B53951">
            <w:pPr>
              <w:numPr>
                <w:ilvl w:val="0"/>
                <w:numId w:val="2"/>
              </w:numPr>
              <w:spacing w:after="0" w:line="240" w:lineRule="auto"/>
              <w:ind w:left="356" w:hanging="360"/>
              <w:jc w:val="both"/>
              <w:textAlignment w:val="baseline"/>
              <w:rPr>
                <w:rFonts w:ascii="Bookman Old Style" w:eastAsia="Times New Roman" w:hAnsi="Bookman Old Style" w:cs="Times New Roman"/>
                <w:color w:val="000000"/>
                <w:sz w:val="21"/>
                <w:szCs w:val="21"/>
                <w:lang w:eastAsia="pt-BR"/>
              </w:rPr>
            </w:pPr>
            <w:r w:rsidRPr="00B53951">
              <w:rPr>
                <w:rFonts w:ascii="Bookman Old Style" w:eastAsia="Times New Roman" w:hAnsi="Bookman Old Style" w:cs="Times New Roman"/>
                <w:color w:val="000000"/>
                <w:sz w:val="21"/>
                <w:szCs w:val="21"/>
                <w:lang w:eastAsia="pt-BR"/>
              </w:rPr>
              <w:t> Lei Federal nº 14.133/2021;</w:t>
            </w:r>
          </w:p>
          <w:p w:rsidR="00B53951" w:rsidRPr="00B53951" w:rsidRDefault="00B53951" w:rsidP="00B53951">
            <w:pPr>
              <w:numPr>
                <w:ilvl w:val="0"/>
                <w:numId w:val="2"/>
              </w:numPr>
              <w:spacing w:after="0" w:line="240" w:lineRule="auto"/>
              <w:ind w:left="356" w:hanging="360"/>
              <w:jc w:val="both"/>
              <w:textAlignment w:val="baseline"/>
              <w:rPr>
                <w:rFonts w:ascii="Bookman Old Style" w:eastAsia="Times New Roman" w:hAnsi="Bookman Old Style" w:cs="Times New Roman"/>
                <w:color w:val="000000"/>
                <w:sz w:val="21"/>
                <w:szCs w:val="21"/>
                <w:lang w:eastAsia="pt-BR"/>
              </w:rPr>
            </w:pPr>
            <w:r w:rsidRPr="00B53951">
              <w:rPr>
                <w:rFonts w:ascii="Bookman Old Style" w:eastAsia="Times New Roman" w:hAnsi="Bookman Old Style" w:cs="Times New Roman"/>
                <w:color w:val="000000"/>
                <w:sz w:val="21"/>
                <w:szCs w:val="21"/>
                <w:lang w:eastAsia="pt-BR"/>
              </w:rPr>
              <w:t>Lei Complementar n° 123/2006 e suas alterações;</w:t>
            </w:r>
          </w:p>
          <w:p w:rsidR="00B53951" w:rsidRPr="00B53951" w:rsidRDefault="00B53951" w:rsidP="00B53951">
            <w:pPr>
              <w:spacing w:after="0" w:line="240" w:lineRule="auto"/>
              <w:jc w:val="both"/>
              <w:rPr>
                <w:rFonts w:ascii="Times New Roman" w:eastAsia="Times New Roman" w:hAnsi="Times New Roman" w:cs="Times New Roman"/>
                <w:sz w:val="24"/>
                <w:szCs w:val="24"/>
                <w:lang w:eastAsia="pt-BR"/>
              </w:rPr>
            </w:pPr>
            <w:r>
              <w:rPr>
                <w:rFonts w:ascii="Bookman Old Style" w:eastAsia="Times New Roman" w:hAnsi="Bookman Old Style" w:cs="Times New Roman"/>
                <w:color w:val="000000"/>
                <w:sz w:val="21"/>
                <w:szCs w:val="21"/>
                <w:lang w:eastAsia="pt-BR"/>
              </w:rPr>
              <w:t>c</w:t>
            </w:r>
            <w:r w:rsidRPr="00B53951">
              <w:rPr>
                <w:rFonts w:ascii="Bookman Old Style" w:eastAsia="Times New Roman" w:hAnsi="Bookman Old Style" w:cs="Times New Roman"/>
                <w:color w:val="000000"/>
                <w:sz w:val="21"/>
                <w:szCs w:val="21"/>
                <w:lang w:eastAsia="pt-BR"/>
              </w:rPr>
              <w:t>) Lei 11.947 de 16 de junho de 2009;</w:t>
            </w:r>
            <w:r w:rsidRPr="00B53951">
              <w:rPr>
                <w:rFonts w:ascii="Bookman Old Style" w:eastAsia="Times New Roman" w:hAnsi="Bookman Old Style" w:cs="Times New Roman"/>
                <w:color w:val="000000"/>
                <w:sz w:val="24"/>
                <w:szCs w:val="24"/>
                <w:lang w:eastAsia="pt-BR"/>
              </w:rPr>
              <w:t> </w:t>
            </w:r>
          </w:p>
        </w:tc>
      </w:tr>
    </w:tbl>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F719D6" w:rsidRDefault="00F719D6" w:rsidP="00B53951">
      <w:pPr>
        <w:spacing w:line="240" w:lineRule="auto"/>
        <w:jc w:val="right"/>
        <w:rPr>
          <w:rFonts w:ascii="Bookman Old Style" w:eastAsia="Times New Roman" w:hAnsi="Bookman Old Style" w:cs="Times New Roman"/>
          <w:color w:val="000000"/>
          <w:sz w:val="24"/>
          <w:szCs w:val="24"/>
          <w:lang w:eastAsia="pt-BR"/>
        </w:rPr>
      </w:pPr>
    </w:p>
    <w:p w:rsidR="00B53951" w:rsidRPr="00B53951" w:rsidRDefault="00B53951" w:rsidP="00B53951">
      <w:pPr>
        <w:spacing w:line="240" w:lineRule="auto"/>
        <w:jc w:val="right"/>
        <w:rPr>
          <w:rFonts w:ascii="Times New Roman" w:eastAsia="Times New Roman" w:hAnsi="Times New Roman" w:cs="Times New Roman"/>
          <w:sz w:val="24"/>
          <w:szCs w:val="24"/>
          <w:lang w:eastAsia="pt-BR"/>
        </w:rPr>
      </w:pPr>
      <w:r>
        <w:rPr>
          <w:rFonts w:ascii="Bookman Old Style" w:eastAsia="Times New Roman" w:hAnsi="Bookman Old Style" w:cs="Times New Roman"/>
          <w:color w:val="000000"/>
          <w:sz w:val="24"/>
          <w:szCs w:val="24"/>
          <w:lang w:eastAsia="pt-BR"/>
        </w:rPr>
        <w:t xml:space="preserve">Areias, 29 de agosto de 2024. </w:t>
      </w:r>
    </w:p>
    <w:p w:rsidR="00B53951" w:rsidRDefault="00B53951" w:rsidP="00B53951">
      <w:pPr>
        <w:spacing w:after="0" w:line="240" w:lineRule="auto"/>
        <w:rPr>
          <w:rFonts w:ascii="Times New Roman" w:eastAsia="Times New Roman" w:hAnsi="Times New Roman" w:cs="Times New Roman"/>
          <w:sz w:val="24"/>
          <w:szCs w:val="24"/>
          <w:lang w:eastAsia="pt-BR"/>
        </w:rPr>
      </w:pPr>
    </w:p>
    <w:p w:rsidR="00F719D6" w:rsidRDefault="00F719D6" w:rsidP="00B53951">
      <w:pPr>
        <w:spacing w:after="0" w:line="240" w:lineRule="auto"/>
        <w:rPr>
          <w:rFonts w:ascii="Times New Roman" w:eastAsia="Times New Roman" w:hAnsi="Times New Roman" w:cs="Times New Roman"/>
          <w:sz w:val="24"/>
          <w:szCs w:val="24"/>
          <w:lang w:eastAsia="pt-BR"/>
        </w:rPr>
      </w:pPr>
    </w:p>
    <w:p w:rsidR="00F719D6" w:rsidRDefault="00F719D6" w:rsidP="00B53951">
      <w:pPr>
        <w:spacing w:after="0" w:line="240" w:lineRule="auto"/>
        <w:rPr>
          <w:rFonts w:ascii="Times New Roman" w:eastAsia="Times New Roman" w:hAnsi="Times New Roman" w:cs="Times New Roman"/>
          <w:sz w:val="24"/>
          <w:szCs w:val="24"/>
          <w:lang w:eastAsia="pt-BR"/>
        </w:rPr>
      </w:pPr>
    </w:p>
    <w:p w:rsidR="00F719D6" w:rsidRPr="00B53951" w:rsidRDefault="00F719D6"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jc w:val="center"/>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color w:val="000000"/>
          <w:sz w:val="24"/>
          <w:szCs w:val="24"/>
          <w:lang w:eastAsia="pt-BR"/>
        </w:rPr>
        <w:t>__________________________________________</w:t>
      </w:r>
    </w:p>
    <w:p w:rsidR="00B53951" w:rsidRPr="00B53951" w:rsidRDefault="00B53951" w:rsidP="00B53951">
      <w:pPr>
        <w:spacing w:after="0" w:line="240" w:lineRule="auto"/>
        <w:jc w:val="center"/>
        <w:rPr>
          <w:rFonts w:ascii="Times New Roman" w:eastAsia="Times New Roman" w:hAnsi="Times New Roman" w:cs="Times New Roman"/>
          <w:sz w:val="24"/>
          <w:szCs w:val="24"/>
          <w:lang w:eastAsia="pt-BR"/>
        </w:rPr>
      </w:pPr>
      <w:r>
        <w:rPr>
          <w:rFonts w:ascii="Bookman Old Style" w:eastAsia="Times New Roman" w:hAnsi="Bookman Old Style" w:cs="Times New Roman"/>
          <w:color w:val="000000"/>
          <w:sz w:val="24"/>
          <w:szCs w:val="24"/>
          <w:lang w:eastAsia="pt-BR"/>
        </w:rPr>
        <w:t>Secretario</w:t>
      </w:r>
      <w:r w:rsidRPr="00B53951">
        <w:rPr>
          <w:rFonts w:ascii="Bookman Old Style" w:eastAsia="Times New Roman" w:hAnsi="Bookman Old Style" w:cs="Times New Roman"/>
          <w:color w:val="000000"/>
          <w:sz w:val="24"/>
          <w:szCs w:val="24"/>
          <w:lang w:eastAsia="pt-BR"/>
        </w:rPr>
        <w:t xml:space="preserve"> Municipal de</w:t>
      </w:r>
      <w:r>
        <w:rPr>
          <w:rFonts w:ascii="Bookman Old Style" w:eastAsia="Times New Roman" w:hAnsi="Bookman Old Style" w:cs="Times New Roman"/>
          <w:color w:val="000000"/>
          <w:sz w:val="24"/>
          <w:szCs w:val="24"/>
          <w:lang w:eastAsia="pt-BR"/>
        </w:rPr>
        <w:t xml:space="preserve"> Obras e Planejamento</w:t>
      </w:r>
    </w:p>
    <w:p w:rsidR="00F719D6" w:rsidRDefault="00B53951" w:rsidP="00B53951">
      <w:pPr>
        <w:spacing w:after="240" w:line="240" w:lineRule="auto"/>
        <w:rPr>
          <w:rFonts w:ascii="Times New Roman" w:eastAsia="Times New Roman" w:hAnsi="Times New Roman" w:cs="Times New Roman"/>
          <w:sz w:val="24"/>
          <w:szCs w:val="24"/>
          <w:lang w:eastAsia="pt-BR"/>
        </w:rPr>
      </w:pPr>
      <w:r w:rsidRPr="00B53951">
        <w:rPr>
          <w:rFonts w:ascii="Times New Roman" w:eastAsia="Times New Roman" w:hAnsi="Times New Roman" w:cs="Times New Roman"/>
          <w:sz w:val="24"/>
          <w:szCs w:val="24"/>
          <w:lang w:eastAsia="pt-BR"/>
        </w:rPr>
        <w:br/>
      </w:r>
    </w:p>
    <w:p w:rsidR="00F719D6" w:rsidRPr="00B53951" w:rsidRDefault="00F719D6" w:rsidP="00B53951">
      <w:pPr>
        <w:spacing w:after="240" w:line="240" w:lineRule="auto"/>
        <w:rPr>
          <w:rFonts w:ascii="Times New Roman" w:eastAsia="Times New Roman" w:hAnsi="Times New Roman" w:cs="Times New Roman"/>
          <w:sz w:val="24"/>
          <w:szCs w:val="24"/>
          <w:lang w:eastAsia="pt-BR"/>
        </w:rPr>
      </w:pPr>
    </w:p>
    <w:p w:rsidR="00B53951" w:rsidRPr="00B53951" w:rsidRDefault="00B53951" w:rsidP="00B53951">
      <w:pPr>
        <w:shd w:val="clear" w:color="auto" w:fill="E2EFD9"/>
        <w:spacing w:after="0" w:line="240" w:lineRule="auto"/>
        <w:jc w:val="center"/>
        <w:rPr>
          <w:rFonts w:ascii="Times New Roman" w:eastAsia="Times New Roman" w:hAnsi="Times New Roman" w:cs="Times New Roman"/>
          <w:sz w:val="24"/>
          <w:szCs w:val="24"/>
          <w:lang w:eastAsia="pt-BR"/>
        </w:rPr>
      </w:pPr>
      <w:r w:rsidRPr="00B53951">
        <w:rPr>
          <w:rFonts w:ascii="Bookman Old Style" w:eastAsia="Times New Roman" w:hAnsi="Bookman Old Style" w:cs="Times New Roman"/>
          <w:b/>
          <w:bCs/>
          <w:color w:val="000000"/>
          <w:sz w:val="28"/>
          <w:szCs w:val="28"/>
          <w:lang w:eastAsia="pt-BR"/>
        </w:rPr>
        <w:t>DOCUMENTO DE FORMALIZAÇÃO DE DEMANDA-DFD</w:t>
      </w:r>
    </w:p>
    <w:p w:rsidR="00B53951" w:rsidRDefault="00B53951" w:rsidP="00B53951">
      <w:pPr>
        <w:spacing w:after="0" w:line="240" w:lineRule="auto"/>
        <w:rPr>
          <w:rFonts w:ascii="Times New Roman" w:eastAsia="Times New Roman" w:hAnsi="Times New Roman" w:cs="Times New Roman"/>
          <w:sz w:val="24"/>
          <w:szCs w:val="24"/>
          <w:lang w:eastAsia="pt-BR"/>
        </w:rPr>
      </w:pPr>
    </w:p>
    <w:p w:rsidR="00B53951" w:rsidRDefault="00B53951" w:rsidP="00B53951">
      <w:pPr>
        <w:spacing w:after="0" w:line="240" w:lineRule="auto"/>
        <w:rPr>
          <w:rFonts w:ascii="Times New Roman" w:eastAsia="Times New Roman" w:hAnsi="Times New Roman" w:cs="Times New Roman"/>
          <w:sz w:val="24"/>
          <w:szCs w:val="24"/>
          <w:lang w:eastAsia="pt-BR"/>
        </w:rPr>
      </w:pPr>
    </w:p>
    <w:p w:rsidR="00B53951" w:rsidRPr="00B53951" w:rsidRDefault="00B53951" w:rsidP="00B5395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Listagem do sistema</w:t>
      </w:r>
    </w:p>
    <w:p w:rsidR="00B53951" w:rsidRPr="00B53951" w:rsidRDefault="00B53951" w:rsidP="00B53951">
      <w:pPr>
        <w:spacing w:after="0" w:line="240" w:lineRule="auto"/>
        <w:rPr>
          <w:rFonts w:ascii="Times New Roman" w:eastAsia="Times New Roman" w:hAnsi="Times New Roman" w:cs="Times New Roman"/>
          <w:sz w:val="24"/>
          <w:szCs w:val="24"/>
          <w:lang w:eastAsia="pt-BR"/>
        </w:rPr>
      </w:pPr>
    </w:p>
    <w:p w:rsidR="00F719D6" w:rsidRDefault="00F719D6">
      <w:r>
        <w:rPr>
          <w:noProof/>
          <w:lang w:eastAsia="pt-BR"/>
        </w:rPr>
        <w:lastRenderedPageBreak/>
        <w:drawing>
          <wp:inline distT="0" distB="0" distL="0" distR="0" wp14:anchorId="0E687EAD" wp14:editId="59D07263">
            <wp:extent cx="6467475" cy="68675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553" t="3138" r="17096"/>
                    <a:stretch/>
                  </pic:blipFill>
                  <pic:spPr bwMode="auto">
                    <a:xfrm>
                      <a:off x="0" y="0"/>
                      <a:ext cx="6471353" cy="6871643"/>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Default="00F719D6" w:rsidP="00F719D6"/>
    <w:p w:rsidR="00F719D6" w:rsidRDefault="00F719D6" w:rsidP="00F719D6">
      <w:pPr>
        <w:tabs>
          <w:tab w:val="left" w:pos="7350"/>
        </w:tabs>
      </w:pPr>
      <w:r>
        <w:lastRenderedPageBreak/>
        <w:tab/>
      </w:r>
      <w:r>
        <w:rPr>
          <w:noProof/>
          <w:lang w:eastAsia="pt-BR"/>
        </w:rPr>
        <w:drawing>
          <wp:inline distT="0" distB="0" distL="0" distR="0" wp14:anchorId="4B6AD167" wp14:editId="5BF0458A">
            <wp:extent cx="6534150" cy="6949628"/>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89" t="9412" r="16825" b="5390"/>
                    <a:stretch/>
                  </pic:blipFill>
                  <pic:spPr bwMode="auto">
                    <a:xfrm>
                      <a:off x="0" y="0"/>
                      <a:ext cx="6535644" cy="6951217"/>
                    </a:xfrm>
                    <a:prstGeom prst="rect">
                      <a:avLst/>
                    </a:prstGeom>
                    <a:ln>
                      <a:noFill/>
                    </a:ln>
                    <a:extLst>
                      <a:ext uri="{53640926-AAD7-44D8-BBD7-CCE9431645EC}">
                        <a14:shadowObscured xmlns:a14="http://schemas.microsoft.com/office/drawing/2010/main"/>
                      </a:ext>
                    </a:extLst>
                  </pic:spPr>
                </pic:pic>
              </a:graphicData>
            </a:graphic>
          </wp:inline>
        </w:drawing>
      </w:r>
    </w:p>
    <w:p w:rsidR="00F719D6" w:rsidRDefault="00F719D6" w:rsidP="00F719D6"/>
    <w:p w:rsidR="00F719D6" w:rsidRDefault="00F719D6" w:rsidP="00F719D6">
      <w:pPr>
        <w:tabs>
          <w:tab w:val="left" w:pos="6240"/>
        </w:tabs>
      </w:pPr>
      <w:r>
        <w:lastRenderedPageBreak/>
        <w:tab/>
      </w:r>
      <w:r>
        <w:rPr>
          <w:noProof/>
          <w:lang w:eastAsia="pt-BR"/>
        </w:rPr>
        <w:drawing>
          <wp:inline distT="0" distB="0" distL="0" distR="0" wp14:anchorId="05B8B6E3" wp14:editId="1A4CD45F">
            <wp:extent cx="6515100" cy="6896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418" t="9171" r="16960" b="5391"/>
                    <a:stretch/>
                  </pic:blipFill>
                  <pic:spPr bwMode="auto">
                    <a:xfrm>
                      <a:off x="0" y="0"/>
                      <a:ext cx="6521669" cy="6903053"/>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Pr="00F719D6" w:rsidRDefault="00F719D6" w:rsidP="00F719D6"/>
    <w:p w:rsidR="00F719D6" w:rsidRDefault="00F719D6" w:rsidP="00F719D6"/>
    <w:p w:rsidR="00F719D6" w:rsidRDefault="00F719D6" w:rsidP="00F719D6">
      <w:pPr>
        <w:jc w:val="right"/>
      </w:pPr>
      <w:r>
        <w:rPr>
          <w:noProof/>
          <w:lang w:eastAsia="pt-BR"/>
        </w:rPr>
        <w:lastRenderedPageBreak/>
        <w:drawing>
          <wp:inline distT="0" distB="0" distL="0" distR="0" wp14:anchorId="4DDE13C7" wp14:editId="5BA997DA">
            <wp:extent cx="6477000" cy="68865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418" t="9412" r="17096" b="5390"/>
                    <a:stretch/>
                  </pic:blipFill>
                  <pic:spPr bwMode="auto">
                    <a:xfrm>
                      <a:off x="0" y="0"/>
                      <a:ext cx="6480007" cy="6889772"/>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Pr="00F719D6" w:rsidRDefault="00F719D6" w:rsidP="00F719D6"/>
    <w:p w:rsidR="00F719D6" w:rsidRPr="00F719D6" w:rsidRDefault="00F719D6" w:rsidP="00F719D6"/>
    <w:p w:rsidR="00F719D6" w:rsidRDefault="00F719D6" w:rsidP="00F719D6"/>
    <w:p w:rsidR="00F719D6" w:rsidRDefault="00F719D6" w:rsidP="00F719D6">
      <w:pPr>
        <w:tabs>
          <w:tab w:val="left" w:pos="6030"/>
        </w:tabs>
      </w:pPr>
      <w:r>
        <w:lastRenderedPageBreak/>
        <w:tab/>
      </w:r>
      <w:r>
        <w:rPr>
          <w:noProof/>
          <w:lang w:eastAsia="pt-BR"/>
        </w:rPr>
        <w:drawing>
          <wp:inline distT="0" distB="0" distL="0" distR="0" wp14:anchorId="426E0C19" wp14:editId="12D2E317">
            <wp:extent cx="6477000" cy="688425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553" t="9413" r="16960" b="5632"/>
                    <a:stretch/>
                  </pic:blipFill>
                  <pic:spPr bwMode="auto">
                    <a:xfrm>
                      <a:off x="0" y="0"/>
                      <a:ext cx="6476238" cy="6883449"/>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Pr="00F719D6" w:rsidRDefault="00F719D6" w:rsidP="00F719D6"/>
    <w:p w:rsidR="00F719D6" w:rsidRDefault="00F719D6" w:rsidP="00F719D6"/>
    <w:p w:rsidR="00F719D6" w:rsidRDefault="00F719D6" w:rsidP="00F719D6">
      <w:pPr>
        <w:tabs>
          <w:tab w:val="left" w:pos="5895"/>
        </w:tabs>
      </w:pPr>
      <w:r>
        <w:lastRenderedPageBreak/>
        <w:tab/>
      </w:r>
      <w:r>
        <w:rPr>
          <w:noProof/>
          <w:lang w:eastAsia="pt-BR"/>
        </w:rPr>
        <w:drawing>
          <wp:inline distT="0" distB="0" distL="0" distR="0" wp14:anchorId="230157C7" wp14:editId="05912F02">
            <wp:extent cx="6524624" cy="68865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418" t="9171" r="16960" b="5149"/>
                    <a:stretch/>
                  </pic:blipFill>
                  <pic:spPr bwMode="auto">
                    <a:xfrm>
                      <a:off x="0" y="0"/>
                      <a:ext cx="6527894" cy="6890027"/>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Pr="00F719D6" w:rsidRDefault="00F719D6" w:rsidP="00F719D6"/>
    <w:p w:rsidR="00F719D6" w:rsidRPr="00F719D6" w:rsidRDefault="00F719D6" w:rsidP="00F719D6"/>
    <w:p w:rsidR="00F719D6" w:rsidRDefault="00F719D6" w:rsidP="00F719D6">
      <w:pPr>
        <w:tabs>
          <w:tab w:val="left" w:pos="6720"/>
        </w:tabs>
      </w:pPr>
      <w:r>
        <w:lastRenderedPageBreak/>
        <w:tab/>
      </w:r>
      <w:r>
        <w:rPr>
          <w:noProof/>
          <w:lang w:eastAsia="pt-BR"/>
        </w:rPr>
        <w:drawing>
          <wp:inline distT="0" distB="0" distL="0" distR="0" wp14:anchorId="7D5EE8D4" wp14:editId="3D16FFF5">
            <wp:extent cx="6505574" cy="68865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553" t="9412" r="17096" b="5632"/>
                    <a:stretch/>
                  </pic:blipFill>
                  <pic:spPr bwMode="auto">
                    <a:xfrm>
                      <a:off x="0" y="0"/>
                      <a:ext cx="6510029" cy="6891291"/>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Pr="00F719D6" w:rsidRDefault="00F719D6" w:rsidP="00F719D6"/>
    <w:p w:rsidR="00F719D6" w:rsidRDefault="00F719D6" w:rsidP="00F719D6"/>
    <w:p w:rsidR="00F719D6" w:rsidRDefault="00F719D6" w:rsidP="00F719D6">
      <w:pPr>
        <w:tabs>
          <w:tab w:val="left" w:pos="5265"/>
        </w:tabs>
      </w:pPr>
      <w:r>
        <w:lastRenderedPageBreak/>
        <w:tab/>
      </w:r>
      <w:r>
        <w:rPr>
          <w:noProof/>
          <w:lang w:eastAsia="pt-BR"/>
        </w:rPr>
        <w:drawing>
          <wp:inline distT="0" distB="0" distL="0" distR="0" wp14:anchorId="7EC40F68" wp14:editId="428FF760">
            <wp:extent cx="6543675" cy="68865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689" t="9412" r="16960" b="5873"/>
                    <a:stretch/>
                  </pic:blipFill>
                  <pic:spPr bwMode="auto">
                    <a:xfrm>
                      <a:off x="0" y="0"/>
                      <a:ext cx="6544709" cy="6887664"/>
                    </a:xfrm>
                    <a:prstGeom prst="rect">
                      <a:avLst/>
                    </a:prstGeom>
                    <a:ln>
                      <a:noFill/>
                    </a:ln>
                    <a:extLst>
                      <a:ext uri="{53640926-AAD7-44D8-BBD7-CCE9431645EC}">
                        <a14:shadowObscured xmlns:a14="http://schemas.microsoft.com/office/drawing/2010/main"/>
                      </a:ext>
                    </a:extLst>
                  </pic:spPr>
                </pic:pic>
              </a:graphicData>
            </a:graphic>
          </wp:inline>
        </w:drawing>
      </w:r>
    </w:p>
    <w:p w:rsidR="00F719D6" w:rsidRPr="00F719D6" w:rsidRDefault="00F719D6" w:rsidP="00F719D6"/>
    <w:p w:rsidR="00F719D6" w:rsidRDefault="00F719D6" w:rsidP="00F719D6"/>
    <w:p w:rsidR="00AA46EB" w:rsidRPr="00F719D6" w:rsidRDefault="00AA46EB" w:rsidP="00F719D6">
      <w:pPr>
        <w:jc w:val="center"/>
      </w:pPr>
      <w:bookmarkStart w:id="0" w:name="_GoBack"/>
      <w:bookmarkEnd w:id="0"/>
    </w:p>
    <w:sectPr w:rsidR="00AA46EB" w:rsidRPr="00F719D6" w:rsidSect="00F719D6">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F5" w:rsidRDefault="002F24F5" w:rsidP="00B53951">
      <w:pPr>
        <w:spacing w:after="0" w:line="240" w:lineRule="auto"/>
      </w:pPr>
      <w:r>
        <w:separator/>
      </w:r>
    </w:p>
  </w:endnote>
  <w:endnote w:type="continuationSeparator" w:id="0">
    <w:p w:rsidR="002F24F5" w:rsidRDefault="002F24F5" w:rsidP="00B5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F5" w:rsidRDefault="002F24F5" w:rsidP="00B53951">
      <w:pPr>
        <w:spacing w:after="0" w:line="240" w:lineRule="auto"/>
      </w:pPr>
      <w:r>
        <w:separator/>
      </w:r>
    </w:p>
  </w:footnote>
  <w:footnote w:type="continuationSeparator" w:id="0">
    <w:p w:rsidR="002F24F5" w:rsidRDefault="002F24F5" w:rsidP="00B53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51" w:rsidRDefault="00B53951">
    <w:pPr>
      <w:pStyle w:val="Cabealho"/>
    </w:pPr>
    <w:r>
      <w:rPr>
        <w:noProof/>
        <w:lang w:eastAsia="pt-BR"/>
      </w:rPr>
      <w:drawing>
        <wp:inline distT="0" distB="0" distL="0" distR="0" wp14:anchorId="363AAE37" wp14:editId="043A4A4D">
          <wp:extent cx="5400040" cy="815965"/>
          <wp:effectExtent l="0" t="0" r="0" b="3810"/>
          <wp:docPr id="22" name="Imagem 22" descr="AREIAS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IAS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59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245E"/>
    <w:multiLevelType w:val="multilevel"/>
    <w:tmpl w:val="EA88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51"/>
    <w:rsid w:val="002F24F5"/>
    <w:rsid w:val="005749B0"/>
    <w:rsid w:val="00AA46EB"/>
    <w:rsid w:val="00B53951"/>
    <w:rsid w:val="00C02A6D"/>
    <w:rsid w:val="00F719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53951"/>
  </w:style>
  <w:style w:type="paragraph" w:styleId="NormalWeb">
    <w:name w:val="Normal (Web)"/>
    <w:basedOn w:val="Normal"/>
    <w:uiPriority w:val="99"/>
    <w:semiHidden/>
    <w:unhideWhenUsed/>
    <w:rsid w:val="00B539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539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951"/>
  </w:style>
  <w:style w:type="paragraph" w:styleId="Rodap">
    <w:name w:val="footer"/>
    <w:basedOn w:val="Normal"/>
    <w:link w:val="RodapChar"/>
    <w:uiPriority w:val="99"/>
    <w:unhideWhenUsed/>
    <w:rsid w:val="00B53951"/>
    <w:pPr>
      <w:tabs>
        <w:tab w:val="center" w:pos="4252"/>
        <w:tab w:val="right" w:pos="8504"/>
      </w:tabs>
      <w:spacing w:after="0" w:line="240" w:lineRule="auto"/>
    </w:pPr>
  </w:style>
  <w:style w:type="character" w:customStyle="1" w:styleId="RodapChar">
    <w:name w:val="Rodapé Char"/>
    <w:basedOn w:val="Fontepargpadro"/>
    <w:link w:val="Rodap"/>
    <w:uiPriority w:val="99"/>
    <w:rsid w:val="00B53951"/>
  </w:style>
  <w:style w:type="paragraph" w:styleId="Textodebalo">
    <w:name w:val="Balloon Text"/>
    <w:basedOn w:val="Normal"/>
    <w:link w:val="TextodebaloChar"/>
    <w:uiPriority w:val="99"/>
    <w:semiHidden/>
    <w:unhideWhenUsed/>
    <w:rsid w:val="00F719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53951"/>
  </w:style>
  <w:style w:type="paragraph" w:styleId="NormalWeb">
    <w:name w:val="Normal (Web)"/>
    <w:basedOn w:val="Normal"/>
    <w:uiPriority w:val="99"/>
    <w:semiHidden/>
    <w:unhideWhenUsed/>
    <w:rsid w:val="00B539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539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951"/>
  </w:style>
  <w:style w:type="paragraph" w:styleId="Rodap">
    <w:name w:val="footer"/>
    <w:basedOn w:val="Normal"/>
    <w:link w:val="RodapChar"/>
    <w:uiPriority w:val="99"/>
    <w:unhideWhenUsed/>
    <w:rsid w:val="00B53951"/>
    <w:pPr>
      <w:tabs>
        <w:tab w:val="center" w:pos="4252"/>
        <w:tab w:val="right" w:pos="8504"/>
      </w:tabs>
      <w:spacing w:after="0" w:line="240" w:lineRule="auto"/>
    </w:pPr>
  </w:style>
  <w:style w:type="character" w:customStyle="1" w:styleId="RodapChar">
    <w:name w:val="Rodapé Char"/>
    <w:basedOn w:val="Fontepargpadro"/>
    <w:link w:val="Rodap"/>
    <w:uiPriority w:val="99"/>
    <w:rsid w:val="00B53951"/>
  </w:style>
  <w:style w:type="paragraph" w:styleId="Textodebalo">
    <w:name w:val="Balloon Text"/>
    <w:basedOn w:val="Normal"/>
    <w:link w:val="TextodebaloChar"/>
    <w:uiPriority w:val="99"/>
    <w:semiHidden/>
    <w:unhideWhenUsed/>
    <w:rsid w:val="00F719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68556">
      <w:bodyDiv w:val="1"/>
      <w:marLeft w:val="0"/>
      <w:marRight w:val="0"/>
      <w:marTop w:val="0"/>
      <w:marBottom w:val="0"/>
      <w:divBdr>
        <w:top w:val="none" w:sz="0" w:space="0" w:color="auto"/>
        <w:left w:val="none" w:sz="0" w:space="0" w:color="auto"/>
        <w:bottom w:val="none" w:sz="0" w:space="0" w:color="auto"/>
        <w:right w:val="none" w:sz="0" w:space="0" w:color="auto"/>
      </w:divBdr>
      <w:divsChild>
        <w:div w:id="720905744">
          <w:marLeft w:val="-574"/>
          <w:marRight w:val="0"/>
          <w:marTop w:val="0"/>
          <w:marBottom w:val="0"/>
          <w:divBdr>
            <w:top w:val="none" w:sz="0" w:space="0" w:color="auto"/>
            <w:left w:val="none" w:sz="0" w:space="0" w:color="auto"/>
            <w:bottom w:val="none" w:sz="0" w:space="0" w:color="auto"/>
            <w:right w:val="none" w:sz="0" w:space="0" w:color="auto"/>
          </w:divBdr>
        </w:div>
        <w:div w:id="602616835">
          <w:marLeft w:val="-5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1235</Words>
  <Characters>6942</Characters>
  <Application>Microsoft Office Word</Application>
  <DocSecurity>0</DocSecurity>
  <Lines>192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Dani</cp:lastModifiedBy>
  <cp:revision>2</cp:revision>
  <cp:lastPrinted>2024-08-29T19:08:00Z</cp:lastPrinted>
  <dcterms:created xsi:type="dcterms:W3CDTF">2024-08-29T14:25:00Z</dcterms:created>
  <dcterms:modified xsi:type="dcterms:W3CDTF">2024-08-29T19:08:00Z</dcterms:modified>
</cp:coreProperties>
</file>